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F20F45">
        <w:rPr>
          <w:rFonts w:ascii="Arial" w:eastAsia="宋体" w:hAnsi="Arial" w:cs="Arial"/>
          <w:b/>
          <w:sz w:val="24"/>
          <w:lang w:eastAsia="zh-CN"/>
        </w:rPr>
        <w:t>5</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D21533">
        <w:rPr>
          <w:rFonts w:ascii="Arial" w:eastAsia="宋体" w:hAnsi="Arial"/>
          <w:b/>
          <w:sz w:val="24"/>
          <w:lang w:eastAsia="zh-CN"/>
        </w:rPr>
        <w:t>6667</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F20F45">
        <w:rPr>
          <w:rFonts w:ascii="Arial" w:eastAsia="宋体" w:hAnsi="Arial"/>
          <w:b/>
          <w:sz w:val="24"/>
          <w:lang w:eastAsia="zh-CN"/>
        </w:rPr>
        <w:t>25</w:t>
      </w:r>
      <w:r w:rsidR="00707604" w:rsidRPr="00707604">
        <w:rPr>
          <w:rFonts w:ascii="Arial" w:eastAsia="宋体" w:hAnsi="Arial"/>
          <w:b/>
          <w:sz w:val="24"/>
          <w:lang w:eastAsia="zh-CN"/>
        </w:rPr>
        <w:t xml:space="preserve">th </w:t>
      </w:r>
      <w:r w:rsidR="00F20F45">
        <w:rPr>
          <w:rFonts w:ascii="Arial" w:eastAsia="宋体" w:hAnsi="Arial"/>
          <w:b/>
          <w:sz w:val="24"/>
          <w:lang w:eastAsia="zh-CN"/>
        </w:rPr>
        <w:t>May</w:t>
      </w:r>
      <w:r w:rsidR="00707604" w:rsidRPr="00707604">
        <w:rPr>
          <w:rFonts w:ascii="Arial" w:eastAsia="宋体" w:hAnsi="Arial"/>
          <w:b/>
          <w:sz w:val="24"/>
          <w:lang w:eastAsia="zh-CN"/>
        </w:rPr>
        <w:t xml:space="preserve"> - </w:t>
      </w:r>
      <w:r w:rsidR="00F20F45">
        <w:rPr>
          <w:rFonts w:ascii="Arial" w:eastAsia="宋体" w:hAnsi="Arial"/>
          <w:b/>
          <w:sz w:val="24"/>
          <w:lang w:eastAsia="zh-CN"/>
        </w:rPr>
        <w:t>5</w:t>
      </w:r>
      <w:r w:rsidR="00707604" w:rsidRPr="00707604">
        <w:rPr>
          <w:rFonts w:ascii="Arial" w:eastAsia="宋体" w:hAnsi="Arial"/>
          <w:b/>
          <w:sz w:val="24"/>
          <w:lang w:eastAsia="zh-CN"/>
        </w:rPr>
        <w:t xml:space="preserve">th </w:t>
      </w:r>
      <w:r w:rsidR="00F20F45">
        <w:rPr>
          <w:rFonts w:ascii="Arial" w:eastAsia="宋体" w:hAnsi="Arial"/>
          <w:b/>
          <w:sz w:val="24"/>
          <w:lang w:eastAsia="zh-CN"/>
        </w:rPr>
        <w:t>Jun</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EE0CA8" w:rsidRPr="00EE0CA8">
        <w:rPr>
          <w:rFonts w:eastAsia="宋体"/>
          <w:sz w:val="24"/>
          <w:lang w:val="en-US" w:eastAsia="zh-CN"/>
        </w:rPr>
        <w:t>Further discussion on HST PRACH BS demodulation requirements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6A75DA">
        <w:rPr>
          <w:rFonts w:eastAsia="宋体"/>
          <w:sz w:val="24"/>
          <w:lang w:val="en-US" w:eastAsia="zh-CN"/>
        </w:rPr>
        <w:t>6</w:t>
      </w:r>
      <w:r w:rsidR="00722CE4">
        <w:rPr>
          <w:rFonts w:eastAsia="宋体"/>
          <w:sz w:val="24"/>
          <w:lang w:val="en-US" w:eastAsia="zh-CN"/>
        </w:rPr>
        <w:t>.</w:t>
      </w:r>
      <w:r w:rsidR="006A75DA">
        <w:rPr>
          <w:rFonts w:eastAsia="宋体"/>
          <w:sz w:val="24"/>
          <w:lang w:val="en-US" w:eastAsia="zh-CN"/>
        </w:rPr>
        <w:t>17</w:t>
      </w:r>
      <w:r w:rsidR="00722CE4">
        <w:rPr>
          <w:rFonts w:eastAsia="宋体"/>
          <w:sz w:val="24"/>
          <w:lang w:val="en-US" w:eastAsia="zh-CN"/>
        </w:rPr>
        <w:t>.</w:t>
      </w:r>
      <w:r w:rsidR="006A75DA">
        <w:rPr>
          <w:rFonts w:eastAsia="宋体"/>
          <w:sz w:val="24"/>
          <w:lang w:val="en-US" w:eastAsia="zh-CN"/>
        </w:rPr>
        <w:t>2.2.2</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890B09"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RAN4#94bis-e, a WF was agreed on HST PRACH BS demodulation requirements. The work almost reaches its flag point except one open issue:</w:t>
      </w:r>
    </w:p>
    <w:tbl>
      <w:tblPr>
        <w:tblStyle w:val="TableGrid"/>
        <w:tblW w:w="0" w:type="auto"/>
        <w:tblLook w:val="04A0" w:firstRow="1" w:lastRow="0" w:firstColumn="1" w:lastColumn="0" w:noHBand="0" w:noVBand="1"/>
      </w:tblPr>
      <w:tblGrid>
        <w:gridCol w:w="9288"/>
      </w:tblGrid>
      <w:tr w:rsidR="00517A56" w:rsidRPr="00890B09" w:rsidTr="00517A56">
        <w:tc>
          <w:tcPr>
            <w:tcW w:w="9288" w:type="dxa"/>
          </w:tcPr>
          <w:p w:rsidR="00890B09" w:rsidRPr="00890B09" w:rsidRDefault="00890B09" w:rsidP="00890B09">
            <w:pPr>
              <w:pStyle w:val="ListParagraph"/>
              <w:numPr>
                <w:ilvl w:val="0"/>
                <w:numId w:val="30"/>
              </w:numPr>
              <w:overflowPunct w:val="0"/>
              <w:autoSpaceDE w:val="0"/>
              <w:autoSpaceDN w:val="0"/>
              <w:adjustRightInd w:val="0"/>
              <w:ind w:firstLineChars="0"/>
              <w:textAlignment w:val="baseline"/>
              <w:rPr>
                <w:i/>
                <w:szCs w:val="21"/>
              </w:rPr>
            </w:pPr>
            <w:r w:rsidRPr="00890B09">
              <w:rPr>
                <w:i/>
                <w:szCs w:val="21"/>
              </w:rPr>
              <w:t>TDLC300-100 propagation conditions for long preamble formats</w:t>
            </w:r>
          </w:p>
          <w:p w:rsidR="00890B09" w:rsidRPr="00890B09" w:rsidRDefault="00890B09" w:rsidP="00890B09">
            <w:pPr>
              <w:pStyle w:val="ListParagraph"/>
              <w:numPr>
                <w:ilvl w:val="1"/>
                <w:numId w:val="30"/>
              </w:numPr>
              <w:overflowPunct w:val="0"/>
              <w:autoSpaceDE w:val="0"/>
              <w:autoSpaceDN w:val="0"/>
              <w:adjustRightInd w:val="0"/>
              <w:ind w:firstLineChars="0"/>
              <w:textAlignment w:val="baseline"/>
              <w:rPr>
                <w:i/>
                <w:szCs w:val="21"/>
              </w:rPr>
            </w:pPr>
            <w:r w:rsidRPr="00890B09">
              <w:rPr>
                <w:i/>
                <w:szCs w:val="21"/>
              </w:rPr>
              <w:t>Option 1: Do not to introduce TDLC300-100 fading channel with frequency offset of 400Hz requirements for long preamble formats for HST requirements.</w:t>
            </w:r>
          </w:p>
          <w:p w:rsidR="00517A56" w:rsidRPr="00890B09" w:rsidRDefault="00890B09" w:rsidP="00890B09">
            <w:pPr>
              <w:pStyle w:val="ListParagraph"/>
              <w:numPr>
                <w:ilvl w:val="1"/>
                <w:numId w:val="30"/>
              </w:numPr>
              <w:overflowPunct w:val="0"/>
              <w:autoSpaceDE w:val="0"/>
              <w:autoSpaceDN w:val="0"/>
              <w:adjustRightInd w:val="0"/>
              <w:ind w:firstLineChars="0"/>
              <w:textAlignment w:val="baseline"/>
              <w:rPr>
                <w:i/>
                <w:szCs w:val="21"/>
              </w:rPr>
            </w:pPr>
            <w:r w:rsidRPr="00890B09">
              <w:rPr>
                <w:i/>
                <w:szCs w:val="21"/>
              </w:rPr>
              <w:t>Option 2: Introduce TDLC300-100 fading channel with frequency offset of 400Hz requirements for long preamble formats for HST requirements.</w:t>
            </w:r>
          </w:p>
        </w:tc>
      </w:tr>
    </w:tbl>
    <w:p w:rsidR="0019214A" w:rsidRPr="0019214A" w:rsidRDefault="00824EEC"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this contribution, a more generic and fundamental issue is discussed and it seems that in a high speed train scenario, </w:t>
      </w:r>
      <w:r w:rsidR="00603EB5">
        <w:rPr>
          <w:rFonts w:eastAsia="宋体"/>
          <w:sz w:val="21"/>
          <w:szCs w:val="21"/>
          <w:lang w:val="en-US" w:eastAsia="zh-CN"/>
        </w:rPr>
        <w:t xml:space="preserve">it is better to have less </w:t>
      </w:r>
      <w:r>
        <w:rPr>
          <w:rFonts w:eastAsia="宋体"/>
          <w:sz w:val="21"/>
          <w:szCs w:val="21"/>
          <w:lang w:val="en-US" w:eastAsia="zh-CN"/>
        </w:rPr>
        <w:t xml:space="preserve">spectrum spread from </w:t>
      </w:r>
      <w:r>
        <w:rPr>
          <w:rFonts w:eastAsia="宋体"/>
          <w:sz w:val="21"/>
          <w:szCs w:val="21"/>
          <w:lang w:val="en-US" w:eastAsia="zh-CN"/>
        </w:rPr>
        <w:t>Doppler Effect</w:t>
      </w:r>
      <w:r>
        <w:rPr>
          <w:rFonts w:eastAsia="宋体"/>
          <w:sz w:val="21"/>
          <w:szCs w:val="21"/>
          <w:lang w:val="en-US" w:eastAsia="zh-CN"/>
        </w:rPr>
        <w:t xml:space="preserve"> </w:t>
      </w:r>
      <w:r w:rsidR="00603EB5">
        <w:rPr>
          <w:rFonts w:eastAsia="宋体"/>
          <w:sz w:val="21"/>
          <w:szCs w:val="21"/>
          <w:lang w:val="en-US" w:eastAsia="zh-CN"/>
        </w:rPr>
        <w:t>as much as possible</w:t>
      </w:r>
      <w:r>
        <w:rPr>
          <w:rFonts w:eastAsia="宋体"/>
          <w:sz w:val="21"/>
          <w:szCs w:val="21"/>
          <w:lang w:val="en-US" w:eastAsia="zh-CN"/>
        </w:rPr>
        <w:t xml:space="preserve"> in the practical deployment</w:t>
      </w:r>
      <w:r w:rsidR="00125F8D">
        <w:rPr>
          <w:rFonts w:eastAsia="宋体"/>
          <w:sz w:val="21"/>
          <w:szCs w:val="21"/>
          <w:lang w:val="en-US" w:eastAsia="zh-CN"/>
        </w:rPr>
        <w:t xml:space="preserve">, and the model consisting of a multipath fading channel plus a fixed frequency offset does </w:t>
      </w:r>
      <w:r w:rsidR="00EB5A87">
        <w:rPr>
          <w:rFonts w:eastAsia="宋体"/>
          <w:sz w:val="21"/>
          <w:szCs w:val="21"/>
          <w:lang w:val="en-US" w:eastAsia="zh-CN"/>
        </w:rPr>
        <w:t>make sense practically.</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215ADC"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It is well known that Jake’s spectrum is a good model on a fading propagation from Doppler Effect in an environments of rich scattering objects. </w:t>
      </w:r>
      <w:r w:rsidR="008E3473">
        <w:rPr>
          <w:rFonts w:eastAsia="宋体"/>
          <w:bCs/>
          <w:sz w:val="21"/>
          <w:szCs w:val="21"/>
          <w:lang w:val="en-GB" w:eastAsia="zh-CN"/>
        </w:rPr>
        <w:t xml:space="preserve">If there is no LOS (Line-Of-Sight) between BS and UE in a high speed train scenario, </w:t>
      </w:r>
      <w:r w:rsidR="0008064E">
        <w:rPr>
          <w:rFonts w:eastAsia="宋体"/>
          <w:bCs/>
          <w:sz w:val="21"/>
          <w:szCs w:val="21"/>
          <w:lang w:val="en-GB" w:eastAsia="zh-CN"/>
        </w:rPr>
        <w:t>radio channels can be model as a multi-path fading channel, and the characteristics of each of path takes on Jake’</w:t>
      </w:r>
      <w:r w:rsidR="00363775">
        <w:rPr>
          <w:rFonts w:eastAsia="宋体"/>
          <w:bCs/>
          <w:sz w:val="21"/>
          <w:szCs w:val="21"/>
          <w:lang w:val="en-GB" w:eastAsia="zh-CN"/>
        </w:rPr>
        <w:t>s classic spectrum, which determines the coherence time interval of the received signal. While the power delay profile of the multiple paths determines the delay spread, thus the coherence bandwidth of the received signal.</w:t>
      </w:r>
    </w:p>
    <w:p w:rsidR="00F72D42" w:rsidRDefault="00F72D42"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For example, in a HST scenario with a pure non-LOS environment and 500kph at 4GHz carrier frequency, the coherence time is:</w:t>
      </w:r>
    </w:p>
    <w:p w:rsidR="00F72D42" w:rsidRDefault="00F72D42"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ab/>
        <w:t xml:space="preserve">1/1.85 * 2 * 500 = 0.54 (ms) </w:t>
      </w:r>
    </w:p>
    <w:p w:rsidR="00F72D42" w:rsidRDefault="00F72D42"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And it is less than one slot (15 kHz SCS), which means that even in a slot the coherence is not guaranteed, and of course a significant performance degradation may be expected.</w:t>
      </w:r>
    </w:p>
    <w:p w:rsidR="00F72D42" w:rsidRPr="00F72D42" w:rsidRDefault="00F72D42" w:rsidP="009B2891">
      <w:pPr>
        <w:pStyle w:val="BodyText"/>
        <w:tabs>
          <w:tab w:val="num" w:pos="226"/>
          <w:tab w:val="num" w:pos="284"/>
          <w:tab w:val="left" w:pos="5103"/>
        </w:tabs>
        <w:snapToGrid w:val="0"/>
        <w:rPr>
          <w:rFonts w:eastAsia="宋体"/>
          <w:b/>
          <w:bCs/>
          <w:sz w:val="21"/>
          <w:szCs w:val="21"/>
          <w:lang w:val="en-GB" w:eastAsia="zh-CN"/>
        </w:rPr>
      </w:pPr>
      <w:r w:rsidRPr="00F72D42">
        <w:rPr>
          <w:rFonts w:eastAsia="宋体"/>
          <w:b/>
          <w:bCs/>
          <w:sz w:val="21"/>
          <w:szCs w:val="21"/>
          <w:lang w:val="en-GB" w:eastAsia="zh-CN"/>
        </w:rPr>
        <w:t>Observation 1: Non-LOS propagation should be avoided in a high speed train scenario</w:t>
      </w:r>
      <w:r w:rsidR="00514C96">
        <w:rPr>
          <w:rFonts w:eastAsia="宋体"/>
          <w:b/>
          <w:bCs/>
          <w:sz w:val="21"/>
          <w:szCs w:val="21"/>
          <w:lang w:val="en-GB" w:eastAsia="zh-CN"/>
        </w:rPr>
        <w:t xml:space="preserve"> from performance aspect</w:t>
      </w:r>
      <w:r w:rsidRPr="00F72D42">
        <w:rPr>
          <w:rFonts w:eastAsia="宋体"/>
          <w:b/>
          <w:bCs/>
          <w:sz w:val="21"/>
          <w:szCs w:val="21"/>
          <w:lang w:val="en-GB" w:eastAsia="zh-CN"/>
        </w:rPr>
        <w:t>.</w:t>
      </w:r>
    </w:p>
    <w:p w:rsidR="00F72D42" w:rsidRDefault="00F72D42"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Practically it may happen that the radio propagation consists of one LOS path and one or more fading paths. Then it should be modelled properly. A </w:t>
      </w:r>
      <w:r>
        <w:rPr>
          <w:rFonts w:eastAsia="宋体"/>
          <w:bCs/>
          <w:sz w:val="21"/>
          <w:szCs w:val="21"/>
          <w:lang w:val="en-GB" w:eastAsia="zh-CN"/>
        </w:rPr>
        <w:t>multipath fading channel plus a fixed frequency offset</w:t>
      </w:r>
      <w:r>
        <w:rPr>
          <w:rFonts w:eastAsia="宋体"/>
          <w:bCs/>
          <w:sz w:val="21"/>
          <w:szCs w:val="21"/>
          <w:lang w:val="en-GB" w:eastAsia="zh-CN"/>
        </w:rPr>
        <w:t>, e.g., TDLC300-100 plus 400Hz frequency offset</w:t>
      </w:r>
      <w:r>
        <w:rPr>
          <w:rFonts w:eastAsia="宋体"/>
          <w:bCs/>
          <w:sz w:val="21"/>
          <w:szCs w:val="21"/>
          <w:lang w:val="en-GB" w:eastAsia="zh-CN"/>
        </w:rPr>
        <w:t xml:space="preserve"> cannot</w:t>
      </w:r>
      <w:r>
        <w:rPr>
          <w:rFonts w:eastAsia="宋体"/>
          <w:bCs/>
          <w:sz w:val="21"/>
          <w:szCs w:val="21"/>
          <w:lang w:val="en-GB" w:eastAsia="zh-CN"/>
        </w:rPr>
        <w:t xml:space="preserve"> model this properly. Instead, some other model</w:t>
      </w:r>
      <w:r w:rsidR="00C66714">
        <w:rPr>
          <w:rFonts w:eastAsia="宋体"/>
          <w:bCs/>
          <w:sz w:val="21"/>
          <w:szCs w:val="21"/>
          <w:lang w:val="en-GB" w:eastAsia="zh-CN"/>
        </w:rPr>
        <w:t xml:space="preserve"> </w:t>
      </w:r>
      <w:r>
        <w:rPr>
          <w:rFonts w:eastAsia="宋体"/>
          <w:bCs/>
          <w:sz w:val="21"/>
          <w:szCs w:val="21"/>
          <w:lang w:val="en-GB" w:eastAsia="zh-CN"/>
        </w:rPr>
        <w:t>e.g., a Rician channel model may be more applicable. But this may require further study for proper modelling and proper parameters.</w:t>
      </w:r>
    </w:p>
    <w:p w:rsidR="00F72D42" w:rsidRPr="00C66714" w:rsidRDefault="00F72D42" w:rsidP="009B2891">
      <w:pPr>
        <w:pStyle w:val="BodyText"/>
        <w:tabs>
          <w:tab w:val="num" w:pos="226"/>
          <w:tab w:val="num" w:pos="284"/>
          <w:tab w:val="left" w:pos="5103"/>
        </w:tabs>
        <w:snapToGrid w:val="0"/>
        <w:rPr>
          <w:rFonts w:eastAsia="宋体"/>
          <w:b/>
          <w:bCs/>
          <w:sz w:val="21"/>
          <w:szCs w:val="21"/>
          <w:lang w:val="en-GB" w:eastAsia="zh-CN"/>
        </w:rPr>
      </w:pPr>
      <w:r w:rsidRPr="00C66714">
        <w:rPr>
          <w:rFonts w:eastAsia="宋体"/>
          <w:b/>
          <w:bCs/>
          <w:sz w:val="21"/>
          <w:szCs w:val="21"/>
          <w:lang w:val="en-GB" w:eastAsia="zh-CN"/>
        </w:rPr>
        <w:t xml:space="preserve">Observation 2: </w:t>
      </w:r>
      <w:r w:rsidR="00514C96">
        <w:rPr>
          <w:rFonts w:eastAsia="宋体"/>
          <w:b/>
          <w:bCs/>
          <w:sz w:val="21"/>
          <w:szCs w:val="21"/>
          <w:lang w:val="en-GB" w:eastAsia="zh-CN"/>
        </w:rPr>
        <w:t>A multipath fading channel</w:t>
      </w:r>
      <w:r w:rsidRPr="00C66714">
        <w:rPr>
          <w:rFonts w:eastAsia="宋体"/>
          <w:b/>
          <w:bCs/>
          <w:sz w:val="21"/>
          <w:szCs w:val="21"/>
          <w:lang w:val="en-GB" w:eastAsia="zh-CN"/>
        </w:rPr>
        <w:t xml:space="preserve"> plus </w:t>
      </w:r>
      <w:r w:rsidR="00514C96">
        <w:rPr>
          <w:rFonts w:eastAsia="宋体"/>
          <w:b/>
          <w:bCs/>
          <w:sz w:val="21"/>
          <w:szCs w:val="21"/>
          <w:lang w:val="en-GB" w:eastAsia="zh-CN"/>
        </w:rPr>
        <w:t>a fixed frequency offset</w:t>
      </w:r>
      <w:r w:rsidRPr="00C66714">
        <w:rPr>
          <w:rFonts w:eastAsia="宋体"/>
          <w:b/>
          <w:bCs/>
          <w:sz w:val="21"/>
          <w:szCs w:val="21"/>
          <w:lang w:val="en-GB" w:eastAsia="zh-CN"/>
        </w:rPr>
        <w:t xml:space="preserve"> is not a proper model </w:t>
      </w:r>
      <w:r w:rsidR="00C66714" w:rsidRPr="00C66714">
        <w:rPr>
          <w:rFonts w:eastAsia="宋体"/>
          <w:b/>
          <w:bCs/>
          <w:sz w:val="21"/>
          <w:szCs w:val="21"/>
          <w:lang w:val="en-GB" w:eastAsia="zh-CN"/>
        </w:rPr>
        <w:t xml:space="preserve">on a radio propagation with </w:t>
      </w:r>
      <w:r w:rsidR="00D21533" w:rsidRPr="00C66714">
        <w:rPr>
          <w:rFonts w:eastAsia="宋体"/>
          <w:b/>
          <w:bCs/>
          <w:sz w:val="21"/>
          <w:szCs w:val="21"/>
          <w:lang w:val="en-GB" w:eastAsia="zh-CN"/>
        </w:rPr>
        <w:t>partial</w:t>
      </w:r>
      <w:r w:rsidR="00C66714" w:rsidRPr="00C66714">
        <w:rPr>
          <w:rFonts w:eastAsia="宋体"/>
          <w:b/>
          <w:bCs/>
          <w:sz w:val="21"/>
          <w:szCs w:val="21"/>
          <w:lang w:val="en-GB" w:eastAsia="zh-CN"/>
        </w:rPr>
        <w:t xml:space="preserve"> LOS and partial fading channel.</w:t>
      </w:r>
      <w:r w:rsidR="00C66714">
        <w:rPr>
          <w:rFonts w:eastAsia="宋体"/>
          <w:b/>
          <w:bCs/>
          <w:sz w:val="21"/>
          <w:szCs w:val="21"/>
          <w:lang w:val="en-GB" w:eastAsia="zh-CN"/>
        </w:rPr>
        <w:t xml:space="preserve"> Some other model, e.g., a Rician channel model may be more applicable.</w:t>
      </w:r>
    </w:p>
    <w:p w:rsidR="00F72D42" w:rsidRDefault="00C66714"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In this case, there is no practical meaning to introduce requirements under TDLC300-100 plus 400Hz frequency offset for HST scenarios, thus we should avoid that before any further study.</w:t>
      </w: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00C66714">
        <w:rPr>
          <w:rFonts w:eastAsia="宋体"/>
          <w:b/>
          <w:bCs/>
          <w:sz w:val="21"/>
          <w:szCs w:val="21"/>
          <w:lang w:val="en-GB" w:eastAsia="zh-CN"/>
        </w:rPr>
        <w:t>1</w:t>
      </w:r>
      <w:r w:rsidR="00F72D42">
        <w:rPr>
          <w:rFonts w:eastAsia="宋体"/>
          <w:b/>
          <w:bCs/>
          <w:sz w:val="21"/>
          <w:szCs w:val="21"/>
          <w:lang w:val="en-GB" w:eastAsia="zh-CN"/>
        </w:rPr>
        <w:t>:</w:t>
      </w:r>
      <w:r w:rsidR="00C66714">
        <w:rPr>
          <w:rFonts w:eastAsia="宋体"/>
          <w:b/>
          <w:bCs/>
          <w:sz w:val="21"/>
          <w:szCs w:val="21"/>
          <w:lang w:val="en-GB" w:eastAsia="zh-CN"/>
        </w:rPr>
        <w:t xml:space="preserve"> There is no practical meaning to introduce requirements under TDLC300-100 plus 400Hz frequency offset for HST scenarios,</w:t>
      </w:r>
      <w:r w:rsidR="00055F79">
        <w:rPr>
          <w:rFonts w:eastAsia="宋体"/>
          <w:b/>
          <w:bCs/>
          <w:sz w:val="21"/>
          <w:szCs w:val="21"/>
          <w:lang w:val="en-GB" w:eastAsia="zh-CN"/>
        </w:rPr>
        <w:t xml:space="preserve"> thus such requirements should not be introduced before any further study.</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observation</w:t>
      </w:r>
      <w:r w:rsidR="007742B3">
        <w:rPr>
          <w:rFonts w:eastAsia="宋体"/>
          <w:bCs/>
          <w:sz w:val="21"/>
          <w:szCs w:val="21"/>
          <w:lang w:val="en-GB" w:eastAsia="zh-CN"/>
        </w:rPr>
        <w:t>s</w:t>
      </w:r>
      <w:r>
        <w:rPr>
          <w:rFonts w:eastAsia="宋体"/>
          <w:bCs/>
          <w:sz w:val="21"/>
          <w:szCs w:val="21"/>
          <w:lang w:val="en-GB" w:eastAsia="zh-CN"/>
        </w:rPr>
        <w:t xml:space="preserve"> and proposal for </w:t>
      </w:r>
      <w:r w:rsidR="007742B3">
        <w:rPr>
          <w:rFonts w:eastAsia="宋体"/>
          <w:bCs/>
          <w:sz w:val="21"/>
          <w:szCs w:val="21"/>
          <w:lang w:val="en-GB" w:eastAsia="zh-CN"/>
        </w:rPr>
        <w:t>requirements for HST PRACH under multipath channel modelling:</w:t>
      </w:r>
    </w:p>
    <w:p w:rsidR="009C0ACA" w:rsidRDefault="00514C96" w:rsidP="00CA4C30">
      <w:pPr>
        <w:pStyle w:val="BodyText"/>
        <w:tabs>
          <w:tab w:val="num" w:pos="226"/>
          <w:tab w:val="num" w:pos="284"/>
          <w:tab w:val="left" w:pos="5103"/>
        </w:tabs>
        <w:snapToGrid w:val="0"/>
        <w:rPr>
          <w:rFonts w:eastAsia="宋体"/>
          <w:b/>
          <w:bCs/>
          <w:sz w:val="21"/>
          <w:szCs w:val="21"/>
          <w:lang w:val="en-GB" w:eastAsia="zh-CN"/>
        </w:rPr>
      </w:pPr>
      <w:r w:rsidRPr="00F72D42">
        <w:rPr>
          <w:rFonts w:eastAsia="宋体"/>
          <w:b/>
          <w:bCs/>
          <w:sz w:val="21"/>
          <w:szCs w:val="21"/>
          <w:lang w:val="en-GB" w:eastAsia="zh-CN"/>
        </w:rPr>
        <w:t>Observation 1: Non-LOS propagation should be avoided in a high speed train scenario</w:t>
      </w:r>
      <w:r>
        <w:rPr>
          <w:rFonts w:eastAsia="宋体"/>
          <w:b/>
          <w:bCs/>
          <w:sz w:val="21"/>
          <w:szCs w:val="21"/>
          <w:lang w:val="en-GB" w:eastAsia="zh-CN"/>
        </w:rPr>
        <w:t xml:space="preserve"> from performance aspect</w:t>
      </w:r>
      <w:r w:rsidRPr="00F72D42">
        <w:rPr>
          <w:rFonts w:eastAsia="宋体"/>
          <w:b/>
          <w:bCs/>
          <w:sz w:val="21"/>
          <w:szCs w:val="21"/>
          <w:lang w:val="en-GB" w:eastAsia="zh-CN"/>
        </w:rPr>
        <w:t>.</w:t>
      </w:r>
    </w:p>
    <w:p w:rsidR="00514C96" w:rsidRDefault="00514C96" w:rsidP="00CA4C30">
      <w:pPr>
        <w:pStyle w:val="BodyText"/>
        <w:tabs>
          <w:tab w:val="num" w:pos="226"/>
          <w:tab w:val="num" w:pos="284"/>
          <w:tab w:val="left" w:pos="5103"/>
        </w:tabs>
        <w:snapToGrid w:val="0"/>
        <w:rPr>
          <w:rFonts w:eastAsia="宋体"/>
          <w:b/>
          <w:bCs/>
          <w:sz w:val="21"/>
          <w:szCs w:val="21"/>
          <w:lang w:val="en-GB" w:eastAsia="zh-CN"/>
        </w:rPr>
      </w:pPr>
      <w:r w:rsidRPr="00C66714">
        <w:rPr>
          <w:rFonts w:eastAsia="宋体"/>
          <w:b/>
          <w:bCs/>
          <w:sz w:val="21"/>
          <w:szCs w:val="21"/>
          <w:lang w:val="en-GB" w:eastAsia="zh-CN"/>
        </w:rPr>
        <w:t xml:space="preserve">Observation 2: </w:t>
      </w:r>
      <w:r>
        <w:rPr>
          <w:rFonts w:eastAsia="宋体"/>
          <w:b/>
          <w:bCs/>
          <w:sz w:val="21"/>
          <w:szCs w:val="21"/>
          <w:lang w:val="en-GB" w:eastAsia="zh-CN"/>
        </w:rPr>
        <w:t>A multipath fading channel</w:t>
      </w:r>
      <w:r w:rsidRPr="00C66714">
        <w:rPr>
          <w:rFonts w:eastAsia="宋体"/>
          <w:b/>
          <w:bCs/>
          <w:sz w:val="21"/>
          <w:szCs w:val="21"/>
          <w:lang w:val="en-GB" w:eastAsia="zh-CN"/>
        </w:rPr>
        <w:t xml:space="preserve"> plus </w:t>
      </w:r>
      <w:r>
        <w:rPr>
          <w:rFonts w:eastAsia="宋体"/>
          <w:b/>
          <w:bCs/>
          <w:sz w:val="21"/>
          <w:szCs w:val="21"/>
          <w:lang w:val="en-GB" w:eastAsia="zh-CN"/>
        </w:rPr>
        <w:t>a fixed frequency offset</w:t>
      </w:r>
      <w:r w:rsidRPr="00C66714">
        <w:rPr>
          <w:rFonts w:eastAsia="宋体"/>
          <w:b/>
          <w:bCs/>
          <w:sz w:val="21"/>
          <w:szCs w:val="21"/>
          <w:lang w:val="en-GB" w:eastAsia="zh-CN"/>
        </w:rPr>
        <w:t xml:space="preserve"> is not a proper model on a radio propagation with parital LOS and partial fading channel.</w:t>
      </w:r>
      <w:r>
        <w:rPr>
          <w:rFonts w:eastAsia="宋体"/>
          <w:b/>
          <w:bCs/>
          <w:sz w:val="21"/>
          <w:szCs w:val="21"/>
          <w:lang w:val="en-GB" w:eastAsia="zh-CN"/>
        </w:rPr>
        <w:t xml:space="preserve"> Some other model, e.g., a Rician channel model may be more applicable.</w:t>
      </w:r>
    </w:p>
    <w:p w:rsidR="00514C96" w:rsidRPr="009C0ACA" w:rsidRDefault="00514C96" w:rsidP="00CA4C30">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 There is no practical meaning to introduce requirements under TDLC300-100 plus 400Hz frequency offset for HST scenarios, thus such requirements should not be introduced before any further study.</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1A44EA" w:rsidRDefault="00D0160F" w:rsidP="00EE0CA8">
      <w:pPr>
        <w:pStyle w:val="List2"/>
      </w:pPr>
      <w:r w:rsidRPr="00D0160F">
        <w:t>R</w:t>
      </w:r>
      <w:r w:rsidR="00EE0CA8">
        <w:t xml:space="preserve">4-2005535 </w:t>
      </w:r>
      <w:r w:rsidR="00EE0CA8" w:rsidRPr="00EE0CA8">
        <w:rPr>
          <w:lang w:val="en-US"/>
        </w:rPr>
        <w:t>Way forward on Rel-16 NR HST PRACH BS demodulation requirement</w:t>
      </w:r>
      <w:r w:rsidR="00EE0CA8">
        <w:rPr>
          <w:lang w:val="en-US"/>
        </w:rPr>
        <w:t>, Huawei</w:t>
      </w:r>
    </w:p>
    <w:p w:rsidR="001A44EA" w:rsidRPr="00183F7C" w:rsidRDefault="001A44EA" w:rsidP="001A44EA">
      <w:pPr>
        <w:pStyle w:val="List2"/>
      </w:pPr>
      <w:r>
        <w:t xml:space="preserve">R4-2005594 </w:t>
      </w:r>
      <w:r w:rsidRPr="001A44EA">
        <w:t>Email discussion summary for [94e Bis][223] NR_HST_Demod_BS</w:t>
      </w:r>
      <w:r>
        <w:t>, Nokia</w:t>
      </w:r>
    </w:p>
    <w:sectPr w:rsidR="001A44EA"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E9F" w:rsidRDefault="00F63E9F" w:rsidP="00E7784C">
      <w:r>
        <w:separator/>
      </w:r>
    </w:p>
  </w:endnote>
  <w:endnote w:type="continuationSeparator" w:id="0">
    <w:p w:rsidR="00F63E9F" w:rsidRDefault="00F63E9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D21533" w:rsidRPr="00D21533">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E9F" w:rsidRDefault="00F63E9F" w:rsidP="00E7784C">
      <w:r>
        <w:separator/>
      </w:r>
    </w:p>
  </w:footnote>
  <w:footnote w:type="continuationSeparator" w:id="0">
    <w:p w:rsidR="00F63E9F" w:rsidRDefault="00F63E9F"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14006F8"/>
    <w:multiLevelType w:val="hybridMultilevel"/>
    <w:tmpl w:val="26E0B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C5EA218A"/>
    <w:lvl w:ilvl="0" w:tplc="28BC0720">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9"/>
  </w:num>
  <w:num w:numId="4">
    <w:abstractNumId w:val="12"/>
  </w:num>
  <w:num w:numId="5">
    <w:abstractNumId w:val="15"/>
  </w:num>
  <w:num w:numId="6">
    <w:abstractNumId w:val="0"/>
  </w:num>
  <w:num w:numId="7">
    <w:abstractNumId w:val="20"/>
  </w:num>
  <w:num w:numId="8">
    <w:abstractNumId w:val="8"/>
  </w:num>
  <w:num w:numId="9">
    <w:abstractNumId w:val="6"/>
  </w:num>
  <w:num w:numId="10">
    <w:abstractNumId w:val="14"/>
  </w:num>
  <w:num w:numId="11">
    <w:abstractNumId w:val="1"/>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5"/>
  </w:num>
  <w:num w:numId="19">
    <w:abstractNumId w:val="9"/>
  </w:num>
  <w:num w:numId="20">
    <w:abstractNumId w:val="3"/>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5F79"/>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64E"/>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5F8D"/>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5BAD"/>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44EA"/>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5ADC"/>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3775"/>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C96"/>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3EB5"/>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75DA"/>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2B3"/>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4EEC"/>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B09"/>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3473"/>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6951"/>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6714"/>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5DE5"/>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1533"/>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716"/>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5A87"/>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0CA8"/>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3E9F"/>
    <w:rsid w:val="00F64281"/>
    <w:rsid w:val="00F671F0"/>
    <w:rsid w:val="00F674D0"/>
    <w:rsid w:val="00F67E63"/>
    <w:rsid w:val="00F7065A"/>
    <w:rsid w:val="00F71845"/>
    <w:rsid w:val="00F72D42"/>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EE0CA8"/>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27E23-00F5-45BB-BF4A-DF5D5A9B9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6</cp:revision>
  <cp:lastPrinted>2015-02-02T11:17:00Z</cp:lastPrinted>
  <dcterms:created xsi:type="dcterms:W3CDTF">2020-05-15T19:40:00Z</dcterms:created>
  <dcterms:modified xsi:type="dcterms:W3CDTF">2020-05-15T19:42:00Z</dcterms:modified>
</cp:coreProperties>
</file>